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BA53" w14:textId="77777777" w:rsidR="00100C4D" w:rsidRDefault="00100C4D" w:rsidP="00100C4D">
      <w:pPr>
        <w:rPr>
          <w:rFonts w:ascii="Calibri" w:eastAsia="Calibri" w:hAnsi="Calibri" w:cs="Calibri"/>
          <w:b/>
          <w:bCs/>
          <w:color w:val="000000"/>
          <w:bdr w:val="nil"/>
          <w:lang w:val="fr-FR"/>
        </w:rPr>
      </w:pPr>
      <w:bookmarkStart w:id="0" w:name="_GoBack"/>
      <w:bookmarkEnd w:id="0"/>
    </w:p>
    <w:p w14:paraId="08375AD6" w14:textId="77777777" w:rsidR="001F4C5D" w:rsidRPr="00C238CE" w:rsidRDefault="001F4C5D" w:rsidP="00100C4D">
      <w:pPr>
        <w:jc w:val="center"/>
        <w:rPr>
          <w:rFonts w:cstheme="minorHAnsi"/>
          <w:b/>
          <w:color w:val="000000" w:themeColor="text1"/>
          <w:lang w:val="fr-FR"/>
        </w:rPr>
      </w:pPr>
      <w:r w:rsidRPr="00C238CE">
        <w:rPr>
          <w:rFonts w:ascii="Calibri" w:eastAsia="Calibri" w:hAnsi="Calibri" w:cs="Calibri"/>
          <w:b/>
          <w:bCs/>
          <w:color w:val="000000"/>
          <w:bdr w:val="nil"/>
          <w:lang w:val="fr-FR"/>
        </w:rPr>
        <w:t>Résumé de l’enquête MYOPATH d’avril à juin 2018</w:t>
      </w:r>
    </w:p>
    <w:p w14:paraId="4EA480E2" w14:textId="77777777" w:rsidR="001F4C5D" w:rsidRPr="00C238CE" w:rsidRDefault="001F4C5D" w:rsidP="001F4C5D">
      <w:pPr>
        <w:jc w:val="both"/>
        <w:rPr>
          <w:rFonts w:cstheme="minorHAnsi"/>
          <w:b/>
          <w:color w:val="000000" w:themeColor="text1"/>
          <w:lang w:val="fr-FR"/>
        </w:rPr>
      </w:pPr>
    </w:p>
    <w:p w14:paraId="17F14056" w14:textId="77777777" w:rsidR="001F4C5D" w:rsidRPr="00C238CE" w:rsidRDefault="001F4C5D" w:rsidP="001F4C5D">
      <w:pPr>
        <w:jc w:val="both"/>
        <w:rPr>
          <w:rFonts w:cstheme="minorHAnsi"/>
          <w:b/>
          <w:color w:val="000000" w:themeColor="text1"/>
          <w:lang w:val="fr-FR"/>
        </w:rPr>
      </w:pPr>
      <w:r w:rsidRPr="00C238CE">
        <w:rPr>
          <w:rFonts w:ascii="Calibri" w:eastAsia="Calibri" w:hAnsi="Calibri" w:cs="Calibri"/>
          <w:b/>
          <w:bCs/>
          <w:color w:val="000000"/>
          <w:bdr w:val="nil"/>
          <w:lang w:val="fr-FR"/>
        </w:rPr>
        <w:t>Objectif et taille :</w:t>
      </w:r>
    </w:p>
    <w:p w14:paraId="1D3DDBBE" w14:textId="77777777" w:rsidR="001F4C5D" w:rsidRPr="00C238CE" w:rsidRDefault="001F4C5D" w:rsidP="001F4C5D">
      <w:pPr>
        <w:jc w:val="both"/>
        <w:rPr>
          <w:rFonts w:cstheme="minorHAnsi"/>
          <w:color w:val="000000" w:themeColor="text1"/>
          <w:lang w:val="fr-FR"/>
        </w:rPr>
      </w:pPr>
    </w:p>
    <w:p w14:paraId="6923B9D9" w14:textId="77777777" w:rsidR="001F4C5D" w:rsidRPr="00C238CE" w:rsidRDefault="001F4C5D" w:rsidP="001F4C5D">
      <w:pPr>
        <w:jc w:val="both"/>
        <w:rPr>
          <w:rFonts w:cstheme="minorHAnsi"/>
          <w:color w:val="000000"/>
          <w:lang w:val="fr-FR"/>
        </w:rPr>
      </w:pPr>
      <w:r w:rsidRPr="00C238CE">
        <w:rPr>
          <w:rFonts w:ascii="Calibri" w:eastAsia="Calibri" w:hAnsi="Calibri" w:cs="Calibri"/>
          <w:color w:val="000000"/>
          <w:bdr w:val="nil"/>
          <w:lang w:val="fr-FR"/>
        </w:rPr>
        <w:t>L’objectif principal de l’enquête MYOPATH était d’</w:t>
      </w:r>
      <w:r w:rsidRPr="00C238CE">
        <w:rPr>
          <w:rFonts w:ascii="Calibri" w:eastAsia="Calibri" w:hAnsi="Calibri" w:cs="Calibri"/>
          <w:bdr w:val="nil"/>
          <w:lang w:val="fr-FR"/>
        </w:rPr>
        <w:t xml:space="preserve">évaluer la sensibilisation et l’accès à la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à travers l’Europe, en documentant les difficultés rencontrées par les patients pour obtenir de la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et le préjudice ultérieur causé par ces limitations au niveau de l’approvisionnement, la sensibilisation et l</w:t>
      </w:r>
      <w:r>
        <w:rPr>
          <w:rFonts w:ascii="Calibri" w:eastAsia="Calibri" w:hAnsi="Calibri" w:cs="Calibri"/>
          <w:bdr w:val="nil"/>
          <w:lang w:val="fr-FR"/>
        </w:rPr>
        <w:t>’</w:t>
      </w:r>
      <w:r w:rsidRPr="00C238CE">
        <w:rPr>
          <w:rFonts w:ascii="Calibri" w:eastAsia="Calibri" w:hAnsi="Calibri" w:cs="Calibri"/>
          <w:bdr w:val="nil"/>
          <w:lang w:val="fr-FR"/>
        </w:rPr>
        <w:t>accès.</w:t>
      </w:r>
    </w:p>
    <w:p w14:paraId="1A9DB205" w14:textId="77777777" w:rsidR="001F4C5D" w:rsidRPr="00C238CE" w:rsidRDefault="001F4C5D" w:rsidP="001F4C5D">
      <w:pPr>
        <w:jc w:val="both"/>
        <w:rPr>
          <w:rFonts w:cstheme="minorHAnsi"/>
          <w:color w:val="000000"/>
          <w:lang w:val="fr-FR"/>
        </w:rPr>
      </w:pPr>
    </w:p>
    <w:p w14:paraId="2EC32AC8" w14:textId="77777777" w:rsidR="001F4C5D" w:rsidRPr="00C238CE" w:rsidRDefault="001F4C5D" w:rsidP="001F4C5D">
      <w:pPr>
        <w:jc w:val="both"/>
        <w:rPr>
          <w:rFonts w:cstheme="minorHAnsi"/>
          <w:color w:val="000000"/>
          <w:lang w:val="fr-FR"/>
        </w:rPr>
      </w:pPr>
      <w:r w:rsidRPr="00C238CE">
        <w:rPr>
          <w:rFonts w:ascii="Calibri" w:eastAsia="Calibri" w:hAnsi="Calibri" w:cs="Calibri"/>
          <w:color w:val="000000"/>
          <w:bdr w:val="nil"/>
          <w:lang w:val="fr-FR"/>
        </w:rPr>
        <w:t xml:space="preserve">L’enquête </w:t>
      </w:r>
      <w:proofErr w:type="spellStart"/>
      <w:r w:rsidRPr="00C238CE">
        <w:rPr>
          <w:rFonts w:ascii="Calibri" w:eastAsia="Calibri" w:hAnsi="Calibri" w:cs="Calibri"/>
          <w:color w:val="000000"/>
          <w:bdr w:val="nil"/>
          <w:lang w:val="fr-FR"/>
        </w:rPr>
        <w:t>Myopath</w:t>
      </w:r>
      <w:proofErr w:type="spellEnd"/>
      <w:r w:rsidRPr="00C238CE">
        <w:rPr>
          <w:rFonts w:ascii="Calibri" w:eastAsia="Calibri" w:hAnsi="Calibri" w:cs="Calibri"/>
          <w:color w:val="000000"/>
          <w:bdr w:val="nil"/>
          <w:lang w:val="fr-FR"/>
        </w:rPr>
        <w:t xml:space="preserve"> a été menée en deux phases</w:t>
      </w:r>
    </w:p>
    <w:p w14:paraId="104D00A4" w14:textId="77777777" w:rsidR="001F4C5D" w:rsidRPr="00C238CE" w:rsidRDefault="001F4C5D" w:rsidP="001F4C5D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/>
          <w:lang w:val="fr-FR"/>
        </w:rPr>
      </w:pPr>
      <w:r w:rsidRPr="00C238CE">
        <w:rPr>
          <w:rFonts w:ascii="Calibri" w:eastAsia="Calibri" w:hAnsi="Calibri" w:cs="Calibri"/>
          <w:color w:val="000000"/>
          <w:bdr w:val="nil"/>
          <w:lang w:val="fr-FR"/>
        </w:rPr>
        <w:t xml:space="preserve">Entretiens personnels : 17 entretiens dans 12 pays, dont 12 avec des médecins et 5 avec des représentants des patients </w:t>
      </w:r>
    </w:p>
    <w:p w14:paraId="751E6014" w14:textId="77777777" w:rsidR="001F4C5D" w:rsidRPr="00C238CE" w:rsidRDefault="001F4C5D" w:rsidP="001F4C5D">
      <w:pPr>
        <w:pStyle w:val="Paragraphedeliste"/>
        <w:numPr>
          <w:ilvl w:val="0"/>
          <w:numId w:val="4"/>
        </w:numPr>
        <w:jc w:val="both"/>
        <w:rPr>
          <w:rFonts w:cstheme="minorHAnsi"/>
          <w:lang w:val="fr-FR"/>
        </w:rPr>
      </w:pPr>
      <w:r w:rsidRPr="00C238CE">
        <w:rPr>
          <w:rFonts w:ascii="Calibri" w:eastAsia="Calibri" w:hAnsi="Calibri" w:cs="Calibri"/>
          <w:bdr w:val="nil"/>
          <w:lang w:val="fr-FR"/>
        </w:rPr>
        <w:t>Enquête en ligne : 390 questionnaires en ligne remplis par des patients et soignants ont été analysés. Les données découlent de patients de plus de 10 pays européens. Les contributeurs majeurs ont été l’Allemagne (&gt; 240) et l’Italie (&gt; 60).</w:t>
      </w:r>
    </w:p>
    <w:p w14:paraId="2958CA91" w14:textId="77777777" w:rsidR="001F4C5D" w:rsidRPr="00C238CE" w:rsidRDefault="001F4C5D" w:rsidP="001F4C5D">
      <w:pPr>
        <w:pStyle w:val="Paragraphedeliste"/>
        <w:ind w:left="0"/>
        <w:jc w:val="both"/>
        <w:rPr>
          <w:rFonts w:cstheme="minorHAnsi"/>
          <w:lang w:val="fr-FR"/>
        </w:rPr>
      </w:pPr>
    </w:p>
    <w:p w14:paraId="4E5FD459" w14:textId="77777777" w:rsidR="001F4C5D" w:rsidRPr="00C238CE" w:rsidRDefault="001F4C5D" w:rsidP="001F4C5D">
      <w:pPr>
        <w:pStyle w:val="Paragraphedeliste"/>
        <w:ind w:left="0"/>
        <w:jc w:val="both"/>
        <w:rPr>
          <w:rFonts w:cstheme="minorHAnsi"/>
          <w:lang w:val="fr-FR"/>
        </w:rPr>
      </w:pPr>
      <w:r w:rsidRPr="00C238CE">
        <w:rPr>
          <w:rFonts w:ascii="Calibri" w:eastAsia="Calibri" w:hAnsi="Calibri" w:cs="Calibri"/>
          <w:bdr w:val="nil"/>
          <w:lang w:val="fr-FR"/>
        </w:rPr>
        <w:t xml:space="preserve">À notre connaissance, il s’agit de la plus grande base de données créée à ce jour concernant la vie et le traitement médical, y compris l’utilisation, l’accès et la sensibilisation à la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>, chez des patients atteints de troubles myotoniques en Europe.</w:t>
      </w:r>
    </w:p>
    <w:p w14:paraId="4D623299" w14:textId="77777777" w:rsidR="001F4C5D" w:rsidRPr="00C238CE" w:rsidRDefault="001F4C5D" w:rsidP="001F4C5D">
      <w:pPr>
        <w:jc w:val="both"/>
        <w:rPr>
          <w:rFonts w:cstheme="minorHAnsi"/>
          <w:lang w:val="fr-FR"/>
        </w:rPr>
      </w:pPr>
    </w:p>
    <w:p w14:paraId="4B3BF05F" w14:textId="77777777" w:rsidR="001F4C5D" w:rsidRPr="00C238CE" w:rsidRDefault="001F4C5D" w:rsidP="001F4C5D">
      <w:pPr>
        <w:jc w:val="both"/>
        <w:rPr>
          <w:b/>
          <w:lang w:val="fr-FR"/>
        </w:rPr>
      </w:pPr>
      <w:r w:rsidRPr="00C238CE">
        <w:rPr>
          <w:rFonts w:ascii="Calibri" w:eastAsia="Calibri" w:hAnsi="Calibri" w:cs="Calibri"/>
          <w:b/>
          <w:bCs/>
          <w:bdr w:val="nil"/>
          <w:lang w:val="fr-FR"/>
        </w:rPr>
        <w:t>Principaux résultats de Phase 1 – Entretiens personnels :</w:t>
      </w:r>
    </w:p>
    <w:p w14:paraId="55814FB7" w14:textId="77777777" w:rsidR="001F4C5D" w:rsidRPr="00C238CE" w:rsidRDefault="001F4C5D" w:rsidP="001F4C5D">
      <w:pPr>
        <w:jc w:val="both"/>
        <w:rPr>
          <w:u w:val="single"/>
          <w:lang w:val="fr-FR"/>
        </w:rPr>
      </w:pPr>
    </w:p>
    <w:p w14:paraId="5CDC0C33" w14:textId="77777777" w:rsidR="001F4C5D" w:rsidRPr="00C238CE" w:rsidRDefault="001F4C5D" w:rsidP="001F4C5D">
      <w:pPr>
        <w:jc w:val="both"/>
        <w:rPr>
          <w:lang w:val="fr-FR"/>
        </w:rPr>
      </w:pPr>
      <w:r w:rsidRPr="00C238CE">
        <w:rPr>
          <w:rFonts w:ascii="Calibri" w:eastAsia="Calibri" w:hAnsi="Calibri" w:cs="Calibri"/>
          <w:bdr w:val="nil"/>
          <w:lang w:val="fr-FR"/>
        </w:rPr>
        <w:t xml:space="preserve">Sensibilisation : Dans l’ensemble des douze états-membres de l’UE évalués, la sensibilisation à la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en tant que traitement des symptômes de la myotonie n’est pas exhaustive. </w:t>
      </w:r>
    </w:p>
    <w:p w14:paraId="00CCEFE0" w14:textId="77777777" w:rsidR="001F4C5D" w:rsidRPr="00C238CE" w:rsidRDefault="001F4C5D" w:rsidP="001F4C5D">
      <w:pPr>
        <w:jc w:val="both"/>
        <w:rPr>
          <w:lang w:val="fr-FR"/>
        </w:rPr>
      </w:pPr>
    </w:p>
    <w:p w14:paraId="511B14B4" w14:textId="77777777" w:rsidR="001F4C5D" w:rsidRPr="00C238CE" w:rsidRDefault="001F4C5D" w:rsidP="001F4C5D">
      <w:pPr>
        <w:jc w:val="both"/>
        <w:rPr>
          <w:lang w:val="fr-FR"/>
        </w:rPr>
      </w:pPr>
      <w:r w:rsidRPr="00C238CE">
        <w:rPr>
          <w:rFonts w:ascii="Calibri" w:eastAsia="Calibri" w:hAnsi="Calibri" w:cs="Calibri"/>
          <w:bdr w:val="nil"/>
          <w:lang w:val="fr-FR"/>
        </w:rPr>
        <w:t xml:space="preserve">Accès : Dans l’ensemble des douze états-membres de l’UE évalués, la France est le seul pays où un approvisionnement en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constant et fiable est disponible pour ses patients. Les autres onze pays ont un accès à la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comme traitement des symptômes de la myotonie limité ou inexistant. </w:t>
      </w:r>
    </w:p>
    <w:p w14:paraId="16F61D4E" w14:textId="77777777" w:rsidR="001F4C5D" w:rsidRPr="00C238CE" w:rsidRDefault="001F4C5D" w:rsidP="001F4C5D">
      <w:pPr>
        <w:jc w:val="both"/>
        <w:rPr>
          <w:lang w:val="fr-FR"/>
        </w:rPr>
      </w:pPr>
    </w:p>
    <w:p w14:paraId="7ACEE517" w14:textId="77777777" w:rsidR="001F4C5D" w:rsidRPr="00C238CE" w:rsidRDefault="001F4C5D" w:rsidP="001F4C5D">
      <w:pPr>
        <w:jc w:val="both"/>
        <w:rPr>
          <w:lang w:val="fr-FR"/>
        </w:rPr>
      </w:pPr>
      <w:r w:rsidRPr="00C238CE">
        <w:rPr>
          <w:rFonts w:ascii="Calibri" w:eastAsia="Calibri" w:hAnsi="Calibri" w:cs="Calibri"/>
          <w:bdr w:val="nil"/>
          <w:lang w:val="fr-FR"/>
        </w:rPr>
        <w:t xml:space="preserve">Les professionnels de la santé, défenseurs des patients et les patients interrogés ont présenté des exemples de cas pour décrire l’expérience des patients atteints de troubles myotoniques avec la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>. Les exemples de cas comprennent :</w:t>
      </w:r>
    </w:p>
    <w:p w14:paraId="6E37A68D" w14:textId="77777777" w:rsidR="001F4C5D" w:rsidRPr="00C238CE" w:rsidRDefault="001F4C5D" w:rsidP="001F4C5D">
      <w:pPr>
        <w:jc w:val="both"/>
        <w:rPr>
          <w:lang w:val="fr-FR"/>
        </w:rPr>
      </w:pPr>
    </w:p>
    <w:p w14:paraId="67FD7185" w14:textId="77777777" w:rsidR="001F4C5D" w:rsidRPr="00C238CE" w:rsidRDefault="001F4C5D" w:rsidP="001F4C5D">
      <w:pPr>
        <w:pStyle w:val="Paragraphedeliste"/>
        <w:numPr>
          <w:ilvl w:val="0"/>
          <w:numId w:val="5"/>
        </w:numPr>
        <w:jc w:val="both"/>
        <w:rPr>
          <w:rFonts w:cs="Times New Roman"/>
          <w:i/>
          <w:lang w:val="fr-FR"/>
        </w:rPr>
      </w:pPr>
      <w:r w:rsidRPr="00C238CE">
        <w:rPr>
          <w:rFonts w:ascii="Calibri" w:eastAsia="Calibri" w:hAnsi="Calibri" w:cs="Calibri"/>
          <w:i/>
          <w:iCs/>
          <w:bdr w:val="nil"/>
          <w:lang w:val="fr-FR"/>
        </w:rPr>
        <w:t xml:space="preserve">Suite à l’arrêt de MEXITIL® : </w:t>
      </w:r>
      <w:r w:rsidRPr="00C238CE">
        <w:rPr>
          <w:rFonts w:ascii="Calibri" w:eastAsia="Calibri" w:hAnsi="Calibri" w:cs="Calibri"/>
          <w:bdr w:val="nil"/>
          <w:lang w:val="fr-FR"/>
        </w:rPr>
        <w:t xml:space="preserve">Ces exemples décrivent les répercussions pour les patients lorsqu’ils n’ont plus eu accès au MEXITIL® de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Boehringer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Ingelheim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après l’interruption du produit. </w:t>
      </w:r>
    </w:p>
    <w:p w14:paraId="00F8F6BA" w14:textId="77777777" w:rsidR="001F4C5D" w:rsidRPr="00C238CE" w:rsidRDefault="001F4C5D" w:rsidP="001F4C5D">
      <w:pPr>
        <w:pStyle w:val="Paragraphedeliste"/>
        <w:numPr>
          <w:ilvl w:val="0"/>
          <w:numId w:val="5"/>
        </w:numPr>
        <w:jc w:val="both"/>
        <w:rPr>
          <w:rFonts w:cs="Times New Roman"/>
          <w:lang w:val="fr-FR"/>
        </w:rPr>
      </w:pPr>
      <w:r w:rsidRPr="00C238CE">
        <w:rPr>
          <w:rFonts w:ascii="Calibri" w:eastAsia="Calibri" w:hAnsi="Calibri" w:cs="Calibri"/>
          <w:i/>
          <w:iCs/>
          <w:bdr w:val="nil"/>
          <w:lang w:val="fr-FR"/>
        </w:rPr>
        <w:t xml:space="preserve">Manque d’accès à la </w:t>
      </w:r>
      <w:proofErr w:type="spellStart"/>
      <w:r w:rsidRPr="00C238CE">
        <w:rPr>
          <w:rFonts w:ascii="Calibri" w:eastAsia="Calibri" w:hAnsi="Calibri" w:cs="Calibri"/>
          <w:i/>
          <w:iCs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i/>
          <w:iCs/>
          <w:bdr w:val="nil"/>
          <w:lang w:val="fr-FR"/>
        </w:rPr>
        <w:t xml:space="preserve"> pour les patients :</w:t>
      </w:r>
      <w:r w:rsidRPr="00C238CE">
        <w:rPr>
          <w:rFonts w:ascii="Calibri" w:eastAsia="Calibri" w:hAnsi="Calibri" w:cs="Calibri"/>
          <w:bdr w:val="nil"/>
          <w:lang w:val="fr-FR"/>
        </w:rPr>
        <w:t xml:space="preserve"> Ces exemples décrivent l’impact que l’absence de traitement par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a sur les symptômes et la qualité de vie des patients. </w:t>
      </w:r>
    </w:p>
    <w:p w14:paraId="6A1DF743" w14:textId="77777777" w:rsidR="001F4C5D" w:rsidRPr="00C238CE" w:rsidRDefault="001F4C5D" w:rsidP="001F4C5D">
      <w:pPr>
        <w:pStyle w:val="Paragraphedeliste"/>
        <w:numPr>
          <w:ilvl w:val="0"/>
          <w:numId w:val="5"/>
        </w:numPr>
        <w:jc w:val="both"/>
        <w:rPr>
          <w:rFonts w:cs="Times New Roman"/>
          <w:lang w:val="fr-FR"/>
        </w:rPr>
      </w:pPr>
      <w:r w:rsidRPr="00C238CE">
        <w:rPr>
          <w:rFonts w:ascii="Calibri" w:eastAsia="Calibri" w:hAnsi="Calibri" w:cs="Calibri"/>
          <w:i/>
          <w:iCs/>
          <w:bdr w:val="nil"/>
          <w:lang w:val="fr-FR"/>
        </w:rPr>
        <w:t xml:space="preserve">Interruption du traitement par </w:t>
      </w:r>
      <w:proofErr w:type="spellStart"/>
      <w:r w:rsidRPr="00C238CE">
        <w:rPr>
          <w:rFonts w:ascii="Calibri" w:eastAsia="Calibri" w:hAnsi="Calibri" w:cs="Calibri"/>
          <w:i/>
          <w:iCs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i/>
          <w:iCs/>
          <w:bdr w:val="nil"/>
          <w:lang w:val="fr-FR"/>
        </w:rPr>
        <w:t> </w:t>
      </w:r>
      <w:r w:rsidRPr="00C238CE">
        <w:rPr>
          <w:rFonts w:ascii="Calibri" w:eastAsia="Calibri" w:hAnsi="Calibri" w:cs="Calibri"/>
          <w:bdr w:val="nil"/>
          <w:lang w:val="fr-FR"/>
        </w:rPr>
        <w:t xml:space="preserve">: Ces exemples décrivent l’impact que les interruptions de traitement par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ont sur les symptômes et la qualité de vie des patients. </w:t>
      </w:r>
    </w:p>
    <w:p w14:paraId="1AA3C04D" w14:textId="77777777" w:rsidR="001F4C5D" w:rsidRPr="00C238CE" w:rsidRDefault="001F4C5D" w:rsidP="001F4C5D">
      <w:pPr>
        <w:pStyle w:val="Paragraphedeliste"/>
        <w:numPr>
          <w:ilvl w:val="0"/>
          <w:numId w:val="5"/>
        </w:numPr>
        <w:jc w:val="both"/>
        <w:rPr>
          <w:rFonts w:cs="Times New Roman"/>
          <w:lang w:val="fr-FR"/>
        </w:rPr>
      </w:pPr>
      <w:r w:rsidRPr="00C238CE">
        <w:rPr>
          <w:rFonts w:ascii="Calibri" w:eastAsia="Calibri" w:hAnsi="Calibri" w:cs="Calibri"/>
          <w:i/>
          <w:iCs/>
          <w:bdr w:val="nil"/>
          <w:lang w:val="fr-FR"/>
        </w:rPr>
        <w:t xml:space="preserve">Expérience des patients avec le traitement par </w:t>
      </w:r>
      <w:proofErr w:type="spellStart"/>
      <w:r w:rsidRPr="00C238CE">
        <w:rPr>
          <w:rFonts w:ascii="Calibri" w:eastAsia="Calibri" w:hAnsi="Calibri" w:cs="Calibri"/>
          <w:i/>
          <w:iCs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i/>
          <w:iCs/>
          <w:bdr w:val="nil"/>
          <w:lang w:val="fr-FR"/>
        </w:rPr>
        <w:t xml:space="preserve"> : </w:t>
      </w:r>
      <w:r w:rsidRPr="00C238CE">
        <w:rPr>
          <w:rFonts w:ascii="Calibri" w:eastAsia="Calibri" w:hAnsi="Calibri" w:cs="Calibri"/>
          <w:bdr w:val="nil"/>
          <w:lang w:val="fr-FR"/>
        </w:rPr>
        <w:t xml:space="preserve">Ces exemples décrivent l’impact que le traitement par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a sur les symptômes et la qualité de vie des patients. </w:t>
      </w:r>
    </w:p>
    <w:p w14:paraId="1D6E1DE1" w14:textId="03E4DCF6" w:rsidR="001F4C5D" w:rsidRPr="00C238CE" w:rsidRDefault="001F4C5D" w:rsidP="001F4C5D">
      <w:pPr>
        <w:jc w:val="both"/>
        <w:rPr>
          <w:b/>
          <w:lang w:val="fr-FR"/>
        </w:rPr>
      </w:pPr>
    </w:p>
    <w:p w14:paraId="247D0A65" w14:textId="77777777" w:rsidR="001F4C5D" w:rsidRPr="00C238CE" w:rsidRDefault="001F4C5D" w:rsidP="001F4C5D">
      <w:pPr>
        <w:jc w:val="both"/>
        <w:rPr>
          <w:b/>
          <w:lang w:val="fr-FR"/>
        </w:rPr>
      </w:pPr>
      <w:r w:rsidRPr="00C238CE">
        <w:rPr>
          <w:rFonts w:ascii="Calibri" w:eastAsia="Calibri" w:hAnsi="Calibri" w:cs="Calibri"/>
          <w:b/>
          <w:bCs/>
          <w:bdr w:val="nil"/>
          <w:lang w:val="fr-FR"/>
        </w:rPr>
        <w:t>Principaux résultats de la phase 2 – Enquête en ligne :</w:t>
      </w:r>
    </w:p>
    <w:p w14:paraId="6C048D5F" w14:textId="77777777" w:rsidR="001F4C5D" w:rsidRPr="00C238CE" w:rsidRDefault="001F4C5D" w:rsidP="001F4C5D">
      <w:pPr>
        <w:jc w:val="both"/>
        <w:rPr>
          <w:lang w:val="fr-FR"/>
        </w:rPr>
      </w:pPr>
    </w:p>
    <w:p w14:paraId="05B056B3" w14:textId="77777777" w:rsidR="001F4C5D" w:rsidRPr="00C238CE" w:rsidRDefault="001F4C5D" w:rsidP="001F4C5D">
      <w:pPr>
        <w:jc w:val="both"/>
        <w:rPr>
          <w:lang w:val="fr-FR"/>
        </w:rPr>
      </w:pPr>
      <w:r w:rsidRPr="00C238CE">
        <w:rPr>
          <w:rFonts w:ascii="Calibri" w:eastAsia="Calibri" w:hAnsi="Calibri" w:cs="Calibri"/>
          <w:bdr w:val="nil"/>
          <w:lang w:val="fr-FR"/>
        </w:rPr>
        <w:t xml:space="preserve">Il n’y a aucune disponibilité du produit autorisé et commercialisé en France pour les patients situés dans d’autres états-membres de l’UE. Même en France, Italie et Hongrie (où le produit est en principe disponible) les patients rencontrent des difficultés pour obtenir le traitement. </w:t>
      </w:r>
    </w:p>
    <w:p w14:paraId="58FAB4C4" w14:textId="77777777" w:rsidR="001F4C5D" w:rsidRPr="00C238CE" w:rsidRDefault="001F4C5D" w:rsidP="001F4C5D">
      <w:pPr>
        <w:jc w:val="both"/>
        <w:rPr>
          <w:lang w:val="fr-FR"/>
        </w:rPr>
      </w:pPr>
    </w:p>
    <w:p w14:paraId="24F5B5B2" w14:textId="77777777" w:rsidR="001F4C5D" w:rsidRPr="00C238CE" w:rsidRDefault="001F4C5D" w:rsidP="001F4C5D">
      <w:pPr>
        <w:jc w:val="both"/>
        <w:rPr>
          <w:lang w:val="fr-FR"/>
        </w:rPr>
      </w:pPr>
      <w:r w:rsidRPr="00C238CE">
        <w:rPr>
          <w:rFonts w:ascii="Calibri" w:eastAsia="Calibri" w:hAnsi="Calibri" w:cs="Calibri"/>
          <w:bdr w:val="nil"/>
          <w:lang w:val="fr-FR"/>
        </w:rPr>
        <w:t xml:space="preserve">20 % (n = 78) des patients participants atteints de myotonie sont actuellement traités par la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ou l’ont été par le passé. 14 % (n = 54) des patients sont actuellement sous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. 38 % des patients actuellement sous traitement par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rapportent avoir des difficultés à obtenir leur traitement. </w:t>
      </w:r>
    </w:p>
    <w:p w14:paraId="01483620" w14:textId="77777777" w:rsidR="001F4C5D" w:rsidRPr="00C238CE" w:rsidRDefault="001F4C5D" w:rsidP="001F4C5D">
      <w:pPr>
        <w:jc w:val="both"/>
        <w:rPr>
          <w:lang w:val="fr-FR"/>
        </w:rPr>
      </w:pPr>
      <w:r w:rsidRPr="00C238CE">
        <w:rPr>
          <w:rFonts w:ascii="Calibri" w:eastAsia="Calibri" w:hAnsi="Calibri" w:cs="Calibri"/>
          <w:bdr w:val="nil"/>
          <w:lang w:val="fr-FR"/>
        </w:rPr>
        <w:t xml:space="preserve">Indépendamment de leur éligibilité au traitement, 68 % des patients en moyenne parmi les patients n’ayant jamais été traités par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n’ont jamais entendu parler de l’option de traitement. </w:t>
      </w:r>
    </w:p>
    <w:p w14:paraId="4A510F8A" w14:textId="77777777" w:rsidR="001F4C5D" w:rsidRPr="00C238CE" w:rsidRDefault="001F4C5D" w:rsidP="001F4C5D">
      <w:pPr>
        <w:jc w:val="both"/>
        <w:rPr>
          <w:lang w:val="fr-FR"/>
        </w:rPr>
      </w:pPr>
    </w:p>
    <w:p w14:paraId="22CDF787" w14:textId="77777777" w:rsidR="001F4C5D" w:rsidRPr="00C238CE" w:rsidRDefault="001F4C5D" w:rsidP="001F4C5D">
      <w:pPr>
        <w:jc w:val="both"/>
        <w:rPr>
          <w:lang w:val="fr-FR"/>
        </w:rPr>
      </w:pPr>
      <w:r w:rsidRPr="00C238CE">
        <w:rPr>
          <w:rFonts w:ascii="Calibri" w:eastAsia="Calibri" w:hAnsi="Calibri" w:cs="Calibri"/>
          <w:bdr w:val="nil"/>
          <w:lang w:val="fr-FR"/>
        </w:rPr>
        <w:t xml:space="preserve">Les 20 % (n = 78) de patients participants qui ont été traités ou prennent actuellement de la </w:t>
      </w:r>
      <w:proofErr w:type="spellStart"/>
      <w:r w:rsidRPr="00C238CE">
        <w:rPr>
          <w:rFonts w:ascii="Calibri" w:eastAsia="Calibri" w:hAnsi="Calibri" w:cs="Calibri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bdr w:val="nil"/>
          <w:lang w:val="fr-FR"/>
        </w:rPr>
        <w:t xml:space="preserve"> ont évalué l’impact du traitement par le médicament sur leur qualité de vie. Le tableau ci-dessous indique le pourcentage de patients atteints de myotonie dystrophique de type 1 (MD1) et de patients atteints de myotonie non-dystrophique (MND) ayant rapporté une amélioration au niveau de certains aspects de leur </w:t>
      </w:r>
      <w:r w:rsidRPr="00C238CE">
        <w:rPr>
          <w:rFonts w:ascii="Calibri" w:eastAsia="Calibri" w:hAnsi="Calibri" w:cs="Calibri"/>
          <w:color w:val="000000"/>
          <w:bdr w:val="nil"/>
          <w:lang w:val="fr-FR"/>
        </w:rPr>
        <w:t xml:space="preserve">qualité de vie suite à la prise de </w:t>
      </w:r>
      <w:proofErr w:type="spellStart"/>
      <w:r w:rsidRPr="00C238CE">
        <w:rPr>
          <w:rFonts w:ascii="Calibri" w:eastAsia="Calibri" w:hAnsi="Calibri" w:cs="Calibri"/>
          <w:color w:val="000000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color w:val="000000"/>
          <w:bdr w:val="nil"/>
          <w:lang w:val="fr-FR"/>
        </w:rPr>
        <w:t xml:space="preserve"> : </w:t>
      </w:r>
    </w:p>
    <w:p w14:paraId="529DC58B" w14:textId="77777777" w:rsidR="001F4C5D" w:rsidRPr="00C238CE" w:rsidRDefault="001F4C5D" w:rsidP="001F4C5D">
      <w:pPr>
        <w:jc w:val="both"/>
        <w:rPr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02"/>
        <w:gridCol w:w="1983"/>
        <w:gridCol w:w="2410"/>
        <w:gridCol w:w="2087"/>
      </w:tblGrid>
      <w:tr w:rsidR="001F4C5D" w:rsidRPr="00C238CE" w14:paraId="355E6000" w14:textId="77777777" w:rsidTr="003F702C">
        <w:tc>
          <w:tcPr>
            <w:tcW w:w="1509" w:type="pct"/>
            <w:shd w:val="clear" w:color="auto" w:fill="DBE5F1" w:themeFill="accent1" w:themeFillTint="33"/>
          </w:tcPr>
          <w:p w14:paraId="09B034A0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Diagnostic :</w:t>
            </w:r>
          </w:p>
          <w:p w14:paraId="47DF8A68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Impact sur :</w:t>
            </w:r>
          </w:p>
        </w:tc>
        <w:tc>
          <w:tcPr>
            <w:tcW w:w="1068" w:type="pct"/>
            <w:shd w:val="clear" w:color="auto" w:fill="DBE5F1" w:themeFill="accent1" w:themeFillTint="33"/>
          </w:tcPr>
          <w:p w14:paraId="65CD9F08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MD1</w:t>
            </w:r>
          </w:p>
        </w:tc>
        <w:tc>
          <w:tcPr>
            <w:tcW w:w="1298" w:type="pct"/>
            <w:shd w:val="clear" w:color="auto" w:fill="DBE5F1" w:themeFill="accent1" w:themeFillTint="33"/>
          </w:tcPr>
          <w:p w14:paraId="1C5ADB49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MD2</w:t>
            </w:r>
          </w:p>
        </w:tc>
        <w:tc>
          <w:tcPr>
            <w:tcW w:w="1124" w:type="pct"/>
            <w:shd w:val="clear" w:color="auto" w:fill="DBE5F1" w:themeFill="accent1" w:themeFillTint="33"/>
          </w:tcPr>
          <w:p w14:paraId="649B5024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MND</w:t>
            </w:r>
          </w:p>
        </w:tc>
      </w:tr>
      <w:tr w:rsidR="001F4C5D" w:rsidRPr="00C238CE" w14:paraId="53266B61" w14:textId="77777777" w:rsidTr="003F702C">
        <w:tc>
          <w:tcPr>
            <w:tcW w:w="1509" w:type="pct"/>
          </w:tcPr>
          <w:p w14:paraId="0095C190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Bien-être émotionnel</w:t>
            </w:r>
          </w:p>
        </w:tc>
        <w:tc>
          <w:tcPr>
            <w:tcW w:w="1068" w:type="pct"/>
          </w:tcPr>
          <w:p w14:paraId="0C2F5176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41 % (n = 24)</w:t>
            </w:r>
          </w:p>
        </w:tc>
        <w:tc>
          <w:tcPr>
            <w:tcW w:w="1298" w:type="pct"/>
          </w:tcPr>
          <w:p w14:paraId="0E54CC6D" w14:textId="77777777" w:rsidR="001F4C5D" w:rsidRPr="00C238CE" w:rsidRDefault="001F4C5D" w:rsidP="001F4C5D">
            <w:pPr>
              <w:jc w:val="both"/>
              <w:rPr>
                <w:i/>
                <w:lang w:val="fr-FR"/>
              </w:rPr>
            </w:pPr>
            <w:r w:rsidRPr="00C238CE">
              <w:rPr>
                <w:rFonts w:ascii="Calibri" w:eastAsia="Calibri" w:hAnsi="Calibri" w:cs="Calibri"/>
                <w:i/>
                <w:iCs/>
                <w:bdr w:val="nil"/>
                <w:lang w:val="fr-FR"/>
              </w:rPr>
              <w:t>Trop peu de répondants</w:t>
            </w:r>
          </w:p>
        </w:tc>
        <w:tc>
          <w:tcPr>
            <w:tcW w:w="1124" w:type="pct"/>
          </w:tcPr>
          <w:p w14:paraId="6633252F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91 % (n = 11)</w:t>
            </w:r>
          </w:p>
        </w:tc>
      </w:tr>
      <w:tr w:rsidR="001F4C5D" w:rsidRPr="00C238CE" w14:paraId="511EE2A7" w14:textId="77777777" w:rsidTr="003F702C">
        <w:tc>
          <w:tcPr>
            <w:tcW w:w="1509" w:type="pct"/>
          </w:tcPr>
          <w:p w14:paraId="03F24E98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Exercice/sports</w:t>
            </w:r>
          </w:p>
        </w:tc>
        <w:tc>
          <w:tcPr>
            <w:tcW w:w="1068" w:type="pct"/>
          </w:tcPr>
          <w:p w14:paraId="01BDD558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47 % (n = 19)</w:t>
            </w:r>
          </w:p>
        </w:tc>
        <w:tc>
          <w:tcPr>
            <w:tcW w:w="1298" w:type="pct"/>
          </w:tcPr>
          <w:p w14:paraId="6AAE4651" w14:textId="77777777" w:rsidR="001F4C5D" w:rsidRPr="00C238CE" w:rsidRDefault="001F4C5D" w:rsidP="001F4C5D">
            <w:pPr>
              <w:jc w:val="both"/>
              <w:rPr>
                <w:i/>
                <w:lang w:val="fr-FR"/>
              </w:rPr>
            </w:pPr>
            <w:r w:rsidRPr="00C238CE">
              <w:rPr>
                <w:rFonts w:ascii="Calibri" w:eastAsia="Calibri" w:hAnsi="Calibri" w:cs="Calibri"/>
                <w:i/>
                <w:iCs/>
                <w:bdr w:val="nil"/>
                <w:lang w:val="fr-FR"/>
              </w:rPr>
              <w:t>Trop peu de répondants</w:t>
            </w:r>
          </w:p>
        </w:tc>
        <w:tc>
          <w:tcPr>
            <w:tcW w:w="1124" w:type="pct"/>
          </w:tcPr>
          <w:p w14:paraId="3ACC77DB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83 % (n = 12)</w:t>
            </w:r>
          </w:p>
        </w:tc>
      </w:tr>
      <w:tr w:rsidR="001F4C5D" w:rsidRPr="00C238CE" w14:paraId="0385181E" w14:textId="77777777" w:rsidTr="003F702C">
        <w:tc>
          <w:tcPr>
            <w:tcW w:w="1509" w:type="pct"/>
          </w:tcPr>
          <w:p w14:paraId="28E9EF32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Social/communication</w:t>
            </w:r>
          </w:p>
        </w:tc>
        <w:tc>
          <w:tcPr>
            <w:tcW w:w="1068" w:type="pct"/>
            <w:shd w:val="clear" w:color="auto" w:fill="auto"/>
          </w:tcPr>
          <w:p w14:paraId="318A126E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48 % (n = 21)</w:t>
            </w:r>
          </w:p>
        </w:tc>
        <w:tc>
          <w:tcPr>
            <w:tcW w:w="1298" w:type="pct"/>
            <w:shd w:val="clear" w:color="auto" w:fill="auto"/>
          </w:tcPr>
          <w:p w14:paraId="18F1C175" w14:textId="77777777" w:rsidR="001F4C5D" w:rsidRPr="00C238CE" w:rsidRDefault="001F4C5D" w:rsidP="001F4C5D">
            <w:pPr>
              <w:jc w:val="both"/>
              <w:rPr>
                <w:i/>
                <w:lang w:val="fr-FR"/>
              </w:rPr>
            </w:pPr>
            <w:r w:rsidRPr="00C238CE">
              <w:rPr>
                <w:rFonts w:ascii="Calibri" w:eastAsia="Calibri" w:hAnsi="Calibri" w:cs="Calibri"/>
                <w:i/>
                <w:iCs/>
                <w:bdr w:val="nil"/>
                <w:lang w:val="fr-FR"/>
              </w:rPr>
              <w:t>Trop peu de répondants</w:t>
            </w:r>
          </w:p>
        </w:tc>
        <w:tc>
          <w:tcPr>
            <w:tcW w:w="1124" w:type="pct"/>
            <w:shd w:val="clear" w:color="auto" w:fill="auto"/>
          </w:tcPr>
          <w:p w14:paraId="0D976186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85 % (n = 13)</w:t>
            </w:r>
          </w:p>
        </w:tc>
      </w:tr>
      <w:tr w:rsidR="001F4C5D" w:rsidRPr="00C238CE" w14:paraId="058B3A5F" w14:textId="77777777" w:rsidTr="003F702C">
        <w:tc>
          <w:tcPr>
            <w:tcW w:w="1509" w:type="pct"/>
          </w:tcPr>
          <w:p w14:paraId="23FAE07C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Mobilité</w:t>
            </w:r>
          </w:p>
        </w:tc>
        <w:tc>
          <w:tcPr>
            <w:tcW w:w="1068" w:type="pct"/>
            <w:shd w:val="clear" w:color="auto" w:fill="auto"/>
          </w:tcPr>
          <w:p w14:paraId="6A82C79E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 xml:space="preserve"> 33 % (n = 21)</w:t>
            </w:r>
          </w:p>
        </w:tc>
        <w:tc>
          <w:tcPr>
            <w:tcW w:w="1298" w:type="pct"/>
            <w:shd w:val="clear" w:color="auto" w:fill="auto"/>
          </w:tcPr>
          <w:p w14:paraId="3630D8AF" w14:textId="77777777" w:rsidR="001F4C5D" w:rsidRPr="00C238CE" w:rsidRDefault="001F4C5D" w:rsidP="001F4C5D">
            <w:pPr>
              <w:jc w:val="both"/>
              <w:rPr>
                <w:i/>
                <w:lang w:val="fr-FR"/>
              </w:rPr>
            </w:pPr>
            <w:r w:rsidRPr="00C238CE">
              <w:rPr>
                <w:rFonts w:ascii="Calibri" w:eastAsia="Calibri" w:hAnsi="Calibri" w:cs="Calibri"/>
                <w:i/>
                <w:iCs/>
                <w:bdr w:val="nil"/>
                <w:lang w:val="fr-FR"/>
              </w:rPr>
              <w:t>Trop peu de répondants</w:t>
            </w:r>
          </w:p>
        </w:tc>
        <w:tc>
          <w:tcPr>
            <w:tcW w:w="1124" w:type="pct"/>
            <w:shd w:val="clear" w:color="auto" w:fill="auto"/>
          </w:tcPr>
          <w:p w14:paraId="0AF574B7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85 % (n = 13)</w:t>
            </w:r>
          </w:p>
        </w:tc>
      </w:tr>
      <w:tr w:rsidR="001F4C5D" w:rsidRPr="00C238CE" w14:paraId="779656CB" w14:textId="77777777" w:rsidTr="003F702C">
        <w:tc>
          <w:tcPr>
            <w:tcW w:w="1509" w:type="pct"/>
          </w:tcPr>
          <w:p w14:paraId="494AF03B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Tâches quotidiennes simples</w:t>
            </w:r>
          </w:p>
        </w:tc>
        <w:tc>
          <w:tcPr>
            <w:tcW w:w="1068" w:type="pct"/>
            <w:shd w:val="clear" w:color="auto" w:fill="auto"/>
          </w:tcPr>
          <w:p w14:paraId="5AEED73B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46 % (n = 22)</w:t>
            </w:r>
          </w:p>
        </w:tc>
        <w:tc>
          <w:tcPr>
            <w:tcW w:w="1298" w:type="pct"/>
            <w:shd w:val="clear" w:color="auto" w:fill="auto"/>
          </w:tcPr>
          <w:p w14:paraId="17C3DD6F" w14:textId="77777777" w:rsidR="001F4C5D" w:rsidRPr="00C238CE" w:rsidRDefault="001F4C5D" w:rsidP="001F4C5D">
            <w:pPr>
              <w:jc w:val="both"/>
              <w:rPr>
                <w:i/>
                <w:lang w:val="fr-FR"/>
              </w:rPr>
            </w:pPr>
            <w:r w:rsidRPr="00C238CE">
              <w:rPr>
                <w:rFonts w:ascii="Calibri" w:eastAsia="Calibri" w:hAnsi="Calibri" w:cs="Calibri"/>
                <w:i/>
                <w:iCs/>
                <w:bdr w:val="nil"/>
                <w:lang w:val="fr-FR"/>
              </w:rPr>
              <w:t>Trop peu de répondants</w:t>
            </w:r>
          </w:p>
        </w:tc>
        <w:tc>
          <w:tcPr>
            <w:tcW w:w="1124" w:type="pct"/>
            <w:shd w:val="clear" w:color="auto" w:fill="auto"/>
          </w:tcPr>
          <w:p w14:paraId="5012AD7C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66 % (n = 9)</w:t>
            </w:r>
          </w:p>
        </w:tc>
      </w:tr>
      <w:tr w:rsidR="001F4C5D" w:rsidRPr="00C238CE" w14:paraId="3A5B88BE" w14:textId="77777777" w:rsidTr="003F702C">
        <w:tc>
          <w:tcPr>
            <w:tcW w:w="1509" w:type="pct"/>
          </w:tcPr>
          <w:p w14:paraId="5D8CA766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Capacité à travailler</w:t>
            </w:r>
          </w:p>
        </w:tc>
        <w:tc>
          <w:tcPr>
            <w:tcW w:w="1068" w:type="pct"/>
            <w:shd w:val="clear" w:color="auto" w:fill="auto"/>
          </w:tcPr>
          <w:p w14:paraId="77FEE56B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44 % (n = 25)</w:t>
            </w:r>
          </w:p>
        </w:tc>
        <w:tc>
          <w:tcPr>
            <w:tcW w:w="1298" w:type="pct"/>
            <w:shd w:val="clear" w:color="auto" w:fill="auto"/>
          </w:tcPr>
          <w:p w14:paraId="08B43342" w14:textId="77777777" w:rsidR="001F4C5D" w:rsidRPr="00C238CE" w:rsidRDefault="001F4C5D" w:rsidP="001F4C5D">
            <w:pPr>
              <w:jc w:val="both"/>
              <w:rPr>
                <w:i/>
                <w:lang w:val="fr-FR"/>
              </w:rPr>
            </w:pPr>
            <w:r w:rsidRPr="00C238CE">
              <w:rPr>
                <w:rFonts w:ascii="Calibri" w:eastAsia="Calibri" w:hAnsi="Calibri" w:cs="Calibri"/>
                <w:i/>
                <w:iCs/>
                <w:bdr w:val="nil"/>
                <w:lang w:val="fr-FR"/>
              </w:rPr>
              <w:t>Trop peu de répondants</w:t>
            </w:r>
          </w:p>
        </w:tc>
        <w:tc>
          <w:tcPr>
            <w:tcW w:w="1124" w:type="pct"/>
            <w:shd w:val="clear" w:color="auto" w:fill="auto"/>
          </w:tcPr>
          <w:p w14:paraId="041F2859" w14:textId="77777777" w:rsidR="001F4C5D" w:rsidRPr="00C238CE" w:rsidRDefault="001F4C5D" w:rsidP="001F4C5D">
            <w:pPr>
              <w:jc w:val="both"/>
              <w:rPr>
                <w:lang w:val="fr-FR"/>
              </w:rPr>
            </w:pPr>
            <w:r w:rsidRPr="00C238CE">
              <w:rPr>
                <w:rFonts w:ascii="Calibri" w:eastAsia="Calibri" w:hAnsi="Calibri" w:cs="Calibri"/>
                <w:bdr w:val="nil"/>
                <w:lang w:val="fr-FR"/>
              </w:rPr>
              <w:t>90 % (n = 11)</w:t>
            </w:r>
          </w:p>
        </w:tc>
      </w:tr>
    </w:tbl>
    <w:p w14:paraId="6499B385" w14:textId="77777777" w:rsidR="001F4C5D" w:rsidRPr="00C238CE" w:rsidRDefault="001F4C5D" w:rsidP="001F4C5D">
      <w:pPr>
        <w:jc w:val="both"/>
        <w:rPr>
          <w:sz w:val="22"/>
          <w:lang w:val="fr-FR"/>
        </w:rPr>
      </w:pPr>
      <w:r w:rsidRPr="00C238CE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Changement dans la qualité de vie : % de patients revendiquant une amélioration modérée ou considérable lors de l’utilisation de </w:t>
      </w:r>
      <w:proofErr w:type="spellStart"/>
      <w:r w:rsidRPr="00C238CE">
        <w:rPr>
          <w:rFonts w:ascii="Calibri" w:eastAsia="Calibri" w:hAnsi="Calibri" w:cs="Calibri"/>
          <w:sz w:val="22"/>
          <w:szCs w:val="22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 (réponses des patients utilisant la </w:t>
      </w:r>
      <w:proofErr w:type="spellStart"/>
      <w:r w:rsidRPr="00C238CE">
        <w:rPr>
          <w:rFonts w:ascii="Calibri" w:eastAsia="Calibri" w:hAnsi="Calibri" w:cs="Calibri"/>
          <w:sz w:val="22"/>
          <w:szCs w:val="22"/>
          <w:bdr w:val="nil"/>
          <w:lang w:val="fr-FR"/>
        </w:rPr>
        <w:t>mexilétine</w:t>
      </w:r>
      <w:proofErr w:type="spellEnd"/>
      <w:r w:rsidRPr="00C238CE">
        <w:rPr>
          <w:rFonts w:ascii="Calibri" w:eastAsia="Calibri" w:hAnsi="Calibri" w:cs="Calibri"/>
          <w:sz w:val="22"/>
          <w:szCs w:val="22"/>
          <w:bdr w:val="nil"/>
          <w:lang w:val="fr-FR"/>
        </w:rPr>
        <w:t>, maintenant ou dans le passé) ; MD1 (Myotonie dystrophique de type 1) ; MD2 (Myotonie dystrophique de type 2)</w:t>
      </w:r>
    </w:p>
    <w:p w14:paraId="7788CEA1" w14:textId="77777777" w:rsidR="001F4C5D" w:rsidRPr="00C238CE" w:rsidRDefault="001F4C5D" w:rsidP="001F4C5D">
      <w:pPr>
        <w:jc w:val="both"/>
        <w:rPr>
          <w:sz w:val="22"/>
          <w:lang w:val="fr-FR"/>
        </w:rPr>
      </w:pPr>
    </w:p>
    <w:p w14:paraId="566BE41B" w14:textId="77777777" w:rsidR="001F4C5D" w:rsidRPr="00C238CE" w:rsidRDefault="001F4C5D" w:rsidP="001F4C5D">
      <w:pPr>
        <w:jc w:val="both"/>
        <w:rPr>
          <w:sz w:val="22"/>
          <w:lang w:val="fr-FR"/>
        </w:rPr>
      </w:pPr>
    </w:p>
    <w:p w14:paraId="041AD620" w14:textId="77777777" w:rsidR="001F4C5D" w:rsidRPr="00C238CE" w:rsidRDefault="001F4C5D" w:rsidP="001F4C5D">
      <w:pPr>
        <w:jc w:val="both"/>
        <w:rPr>
          <w:b/>
          <w:i/>
          <w:sz w:val="22"/>
          <w:lang w:val="fr-FR"/>
        </w:rPr>
      </w:pPr>
      <w:r w:rsidRPr="00C238CE">
        <w:rPr>
          <w:rFonts w:ascii="Calibri" w:eastAsia="Calibri" w:hAnsi="Calibri" w:cs="Calibri"/>
          <w:b/>
          <w:bCs/>
          <w:i/>
          <w:iCs/>
          <w:sz w:val="22"/>
          <w:szCs w:val="22"/>
          <w:bdr w:val="nil"/>
          <w:lang w:val="fr-FR"/>
        </w:rPr>
        <w:t>Il est prévu que des interprétations et conclusions issues des résultats ci-dessus et de nombreuses données supplémentaires soient publiées au cours des 6 premiers mois de 2019.</w:t>
      </w:r>
    </w:p>
    <w:p w14:paraId="149535D6" w14:textId="77777777" w:rsidR="001F4C5D" w:rsidRPr="00C238CE" w:rsidRDefault="001F4C5D" w:rsidP="001F4C5D">
      <w:pPr>
        <w:jc w:val="both"/>
        <w:rPr>
          <w:lang w:val="fr-FR"/>
        </w:rPr>
      </w:pPr>
    </w:p>
    <w:p w14:paraId="3B3F0CAA" w14:textId="77777777" w:rsidR="001F4C5D" w:rsidRPr="00C238CE" w:rsidRDefault="001F4C5D" w:rsidP="001F4C5D">
      <w:pPr>
        <w:jc w:val="both"/>
        <w:rPr>
          <w:lang w:val="fr-FR"/>
        </w:rPr>
      </w:pPr>
    </w:p>
    <w:p w14:paraId="09DBE054" w14:textId="77777777" w:rsidR="009C5058" w:rsidRPr="004C3E1C" w:rsidRDefault="009C5058" w:rsidP="00BB288E">
      <w:pPr>
        <w:autoSpaceDE w:val="0"/>
        <w:autoSpaceDN w:val="0"/>
        <w:adjustRightInd w:val="0"/>
        <w:rPr>
          <w:rFonts w:ascii="Bk Avenir Book" w:hAnsi="Bk Avenir Book" w:cs="Arial"/>
          <w:sz w:val="22"/>
          <w:szCs w:val="22"/>
          <w:lang w:val="en-US"/>
        </w:rPr>
      </w:pPr>
    </w:p>
    <w:sectPr w:rsidR="009C5058" w:rsidRPr="004C3E1C" w:rsidSect="00DA7C15">
      <w:headerReference w:type="default" r:id="rId9"/>
      <w:headerReference w:type="first" r:id="rId10"/>
      <w:pgSz w:w="11900" w:h="16820"/>
      <w:pgMar w:top="1664" w:right="1417" w:bottom="1292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FB8C6" w14:textId="77777777" w:rsidR="00C0008B" w:rsidRDefault="00C0008B" w:rsidP="006C3E7C">
      <w:r>
        <w:separator/>
      </w:r>
    </w:p>
  </w:endnote>
  <w:endnote w:type="continuationSeparator" w:id="0">
    <w:p w14:paraId="2034AC5A" w14:textId="77777777" w:rsidR="00C0008B" w:rsidRDefault="00C0008B" w:rsidP="006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k Avenir Book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C35CF" w14:textId="77777777" w:rsidR="00C0008B" w:rsidRDefault="00C0008B" w:rsidP="006C3E7C">
      <w:r>
        <w:separator/>
      </w:r>
    </w:p>
  </w:footnote>
  <w:footnote w:type="continuationSeparator" w:id="0">
    <w:p w14:paraId="6E81B587" w14:textId="77777777" w:rsidR="00C0008B" w:rsidRDefault="00C0008B" w:rsidP="006C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8ABEC" w14:textId="1876929E" w:rsidR="004946DE" w:rsidRDefault="004946DE">
    <w:pPr>
      <w:pStyle w:val="En-tte"/>
    </w:pPr>
    <w:r>
      <w:rPr>
        <w:rFonts w:ascii="Arial" w:hAnsi="Arial"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66432" behindDoc="1" locked="1" layoutInCell="1" allowOverlap="1" wp14:anchorId="17E368B4" wp14:editId="2D505DC6">
          <wp:simplePos x="0" y="0"/>
          <wp:positionH relativeFrom="column">
            <wp:posOffset>-885825</wp:posOffset>
          </wp:positionH>
          <wp:positionV relativeFrom="page">
            <wp:posOffset>605790</wp:posOffset>
          </wp:positionV>
          <wp:extent cx="7556500" cy="621030"/>
          <wp:effectExtent l="0" t="0" r="1270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_Spielmann_V02_S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21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B0129" w14:textId="1DFE5EE7" w:rsidR="004946DE" w:rsidRDefault="004946DE" w:rsidP="009D30A9">
    <w:pPr>
      <w:pStyle w:val="En-tte"/>
      <w:ind w:hanging="1417"/>
    </w:pPr>
    <w:r>
      <w:rPr>
        <w:rFonts w:hint="eastAsia"/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0DBEEDC2" wp14:editId="4F3E000A">
          <wp:simplePos x="0" y="0"/>
          <wp:positionH relativeFrom="column">
            <wp:posOffset>6809105</wp:posOffset>
          </wp:positionH>
          <wp:positionV relativeFrom="paragraph">
            <wp:posOffset>-449580</wp:posOffset>
          </wp:positionV>
          <wp:extent cx="7559675" cy="10697845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_Spielmann_V02_S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331"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428B85DB" wp14:editId="273685C6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9675" cy="1068514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 admedicum_bbg_101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E66"/>
    <w:multiLevelType w:val="hybridMultilevel"/>
    <w:tmpl w:val="28CEAF5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B18D6"/>
    <w:multiLevelType w:val="hybridMultilevel"/>
    <w:tmpl w:val="85E40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BB428C"/>
    <w:multiLevelType w:val="hybridMultilevel"/>
    <w:tmpl w:val="50DEE348"/>
    <w:lvl w:ilvl="0" w:tplc="75640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46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87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8C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68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ED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0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E4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40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61577"/>
    <w:multiLevelType w:val="hybridMultilevel"/>
    <w:tmpl w:val="2F04F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405EC"/>
    <w:multiLevelType w:val="hybridMultilevel"/>
    <w:tmpl w:val="AB3A8106"/>
    <w:lvl w:ilvl="0" w:tplc="B6988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4F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AA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40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8F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42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ED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E3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20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8"/>
  </w:docVars>
  <w:rsids>
    <w:rsidRoot w:val="0043483E"/>
    <w:rsid w:val="00020C6F"/>
    <w:rsid w:val="0002504E"/>
    <w:rsid w:val="00043DF0"/>
    <w:rsid w:val="00045331"/>
    <w:rsid w:val="00070141"/>
    <w:rsid w:val="000A1157"/>
    <w:rsid w:val="000B11D1"/>
    <w:rsid w:val="00100C4D"/>
    <w:rsid w:val="00177A5D"/>
    <w:rsid w:val="00197B7C"/>
    <w:rsid w:val="001A302D"/>
    <w:rsid w:val="001E572C"/>
    <w:rsid w:val="001F4C5D"/>
    <w:rsid w:val="001F6280"/>
    <w:rsid w:val="00207610"/>
    <w:rsid w:val="00223F89"/>
    <w:rsid w:val="00257E4D"/>
    <w:rsid w:val="00265EA9"/>
    <w:rsid w:val="00280957"/>
    <w:rsid w:val="002965BA"/>
    <w:rsid w:val="002B4AFF"/>
    <w:rsid w:val="002E34C6"/>
    <w:rsid w:val="002F2395"/>
    <w:rsid w:val="00347C6C"/>
    <w:rsid w:val="00393966"/>
    <w:rsid w:val="003A1B14"/>
    <w:rsid w:val="003A264F"/>
    <w:rsid w:val="00422674"/>
    <w:rsid w:val="0043483E"/>
    <w:rsid w:val="004946DE"/>
    <w:rsid w:val="004A0165"/>
    <w:rsid w:val="004C3E1C"/>
    <w:rsid w:val="0052717C"/>
    <w:rsid w:val="005424E1"/>
    <w:rsid w:val="00547BEC"/>
    <w:rsid w:val="005E178D"/>
    <w:rsid w:val="00603509"/>
    <w:rsid w:val="00604E4B"/>
    <w:rsid w:val="00635BE4"/>
    <w:rsid w:val="00683E5D"/>
    <w:rsid w:val="006908E1"/>
    <w:rsid w:val="00690B1C"/>
    <w:rsid w:val="006B25E3"/>
    <w:rsid w:val="006C3E7C"/>
    <w:rsid w:val="006D72FE"/>
    <w:rsid w:val="006F64F2"/>
    <w:rsid w:val="00707D44"/>
    <w:rsid w:val="00721A50"/>
    <w:rsid w:val="00757B8A"/>
    <w:rsid w:val="007E1BAC"/>
    <w:rsid w:val="007F1705"/>
    <w:rsid w:val="008010D6"/>
    <w:rsid w:val="008057A1"/>
    <w:rsid w:val="008149BE"/>
    <w:rsid w:val="00823AF7"/>
    <w:rsid w:val="00826BA2"/>
    <w:rsid w:val="00831867"/>
    <w:rsid w:val="00936586"/>
    <w:rsid w:val="00975AE3"/>
    <w:rsid w:val="009B05FE"/>
    <w:rsid w:val="009B5FD7"/>
    <w:rsid w:val="009C5058"/>
    <w:rsid w:val="009D30A9"/>
    <w:rsid w:val="00A26398"/>
    <w:rsid w:val="00A40178"/>
    <w:rsid w:val="00A5325C"/>
    <w:rsid w:val="00A96F11"/>
    <w:rsid w:val="00B06633"/>
    <w:rsid w:val="00B06B9D"/>
    <w:rsid w:val="00B45D23"/>
    <w:rsid w:val="00B46AFA"/>
    <w:rsid w:val="00B64FF0"/>
    <w:rsid w:val="00B74DC2"/>
    <w:rsid w:val="00B750F9"/>
    <w:rsid w:val="00B84F37"/>
    <w:rsid w:val="00BB288E"/>
    <w:rsid w:val="00BC08D3"/>
    <w:rsid w:val="00C0008B"/>
    <w:rsid w:val="00C22D19"/>
    <w:rsid w:val="00C30390"/>
    <w:rsid w:val="00C95B3F"/>
    <w:rsid w:val="00C969EA"/>
    <w:rsid w:val="00D03528"/>
    <w:rsid w:val="00D123D2"/>
    <w:rsid w:val="00D62F06"/>
    <w:rsid w:val="00D779A9"/>
    <w:rsid w:val="00D86E7F"/>
    <w:rsid w:val="00DA1CDC"/>
    <w:rsid w:val="00DA7C15"/>
    <w:rsid w:val="00DB6CF1"/>
    <w:rsid w:val="00E00BE6"/>
    <w:rsid w:val="00E20686"/>
    <w:rsid w:val="00E659CD"/>
    <w:rsid w:val="00E75F41"/>
    <w:rsid w:val="00EA071C"/>
    <w:rsid w:val="00EB4B85"/>
    <w:rsid w:val="00F32E0F"/>
    <w:rsid w:val="00F45BCF"/>
    <w:rsid w:val="00F6074D"/>
    <w:rsid w:val="00F75B89"/>
    <w:rsid w:val="00FA3A54"/>
    <w:rsid w:val="00FA7E11"/>
    <w:rsid w:val="00FB3FD0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6D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90B1C"/>
    <w:pPr>
      <w:keepNext/>
      <w:outlineLvl w:val="1"/>
    </w:pPr>
    <w:rPr>
      <w:rFonts w:ascii="Arial" w:eastAsia="Times New Roman" w:hAnsi="Arial"/>
      <w:b/>
      <w:color w:val="000000"/>
      <w:sz w:val="22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90B1C"/>
    <w:rPr>
      <w:rFonts w:ascii="Arial" w:eastAsia="Times New Roman" w:hAnsi="Arial" w:cs="Times New Roman"/>
      <w:b/>
      <w:color w:val="000000"/>
      <w:sz w:val="22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90B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3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E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C3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E7C"/>
    <w:rPr>
      <w:sz w:val="24"/>
      <w:szCs w:val="24"/>
    </w:rPr>
  </w:style>
  <w:style w:type="table" w:styleId="Grilledutableau">
    <w:name w:val="Table Grid"/>
    <w:basedOn w:val="TableauNormal"/>
    <w:uiPriority w:val="59"/>
    <w:rsid w:val="006C3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0B11D1"/>
    <w:pPr>
      <w:spacing w:before="120"/>
    </w:pPr>
    <w:rPr>
      <w:rFonts w:asciiTheme="minorHAnsi" w:hAnsiTheme="minorHAnsi"/>
      <w:b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0B11D1"/>
    <w:pPr>
      <w:ind w:left="240"/>
    </w:pPr>
    <w:rPr>
      <w:rFonts w:asciiTheme="minorHAnsi" w:hAnsiTheme="minorHAnsi"/>
      <w:i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0B11D1"/>
    <w:pPr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0B11D1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B11D1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B11D1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B11D1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B11D1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B11D1"/>
    <w:pPr>
      <w:ind w:left="1920"/>
    </w:pPr>
    <w:rPr>
      <w:rFonts w:asciiTheme="minorHAnsi" w:hAnsiTheme="minorHAnsi"/>
      <w:sz w:val="20"/>
      <w:szCs w:val="20"/>
    </w:rPr>
  </w:style>
  <w:style w:type="paragraph" w:styleId="Rvision">
    <w:name w:val="Revision"/>
    <w:hidden/>
    <w:uiPriority w:val="99"/>
    <w:semiHidden/>
    <w:rsid w:val="00B06B9D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3A54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3A54"/>
    <w:rPr>
      <w:rFonts w:ascii="Lucida Grande" w:hAnsi="Lucida Grande" w:cs="Lucida Grande"/>
      <w:sz w:val="24"/>
      <w:szCs w:val="24"/>
    </w:rPr>
  </w:style>
  <w:style w:type="paragraph" w:customStyle="1" w:styleId="EinfAbs">
    <w:name w:val="[Einf. Abs.]"/>
    <w:basedOn w:val="Normal"/>
    <w:uiPriority w:val="99"/>
    <w:rsid w:val="004A01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F607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auNormal"/>
    <w:next w:val="Grilledutableau"/>
    <w:uiPriority w:val="59"/>
    <w:rsid w:val="004C3E1C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90B1C"/>
    <w:pPr>
      <w:keepNext/>
      <w:outlineLvl w:val="1"/>
    </w:pPr>
    <w:rPr>
      <w:rFonts w:ascii="Arial" w:eastAsia="Times New Roman" w:hAnsi="Arial"/>
      <w:b/>
      <w:color w:val="000000"/>
      <w:sz w:val="22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90B1C"/>
    <w:rPr>
      <w:rFonts w:ascii="Arial" w:eastAsia="Times New Roman" w:hAnsi="Arial" w:cs="Times New Roman"/>
      <w:b/>
      <w:color w:val="000000"/>
      <w:sz w:val="22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90B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3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E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C3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E7C"/>
    <w:rPr>
      <w:sz w:val="24"/>
      <w:szCs w:val="24"/>
    </w:rPr>
  </w:style>
  <w:style w:type="table" w:styleId="Grilledutableau">
    <w:name w:val="Table Grid"/>
    <w:basedOn w:val="TableauNormal"/>
    <w:uiPriority w:val="59"/>
    <w:rsid w:val="006C3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0B11D1"/>
    <w:pPr>
      <w:spacing w:before="120"/>
    </w:pPr>
    <w:rPr>
      <w:rFonts w:asciiTheme="minorHAnsi" w:hAnsiTheme="minorHAnsi"/>
      <w:b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0B11D1"/>
    <w:pPr>
      <w:ind w:left="240"/>
    </w:pPr>
    <w:rPr>
      <w:rFonts w:asciiTheme="minorHAnsi" w:hAnsiTheme="minorHAnsi"/>
      <w:i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0B11D1"/>
    <w:pPr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0B11D1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B11D1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B11D1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B11D1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B11D1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B11D1"/>
    <w:pPr>
      <w:ind w:left="1920"/>
    </w:pPr>
    <w:rPr>
      <w:rFonts w:asciiTheme="minorHAnsi" w:hAnsiTheme="minorHAnsi"/>
      <w:sz w:val="20"/>
      <w:szCs w:val="20"/>
    </w:rPr>
  </w:style>
  <w:style w:type="paragraph" w:styleId="Rvision">
    <w:name w:val="Revision"/>
    <w:hidden/>
    <w:uiPriority w:val="99"/>
    <w:semiHidden/>
    <w:rsid w:val="00B06B9D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3A54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3A54"/>
    <w:rPr>
      <w:rFonts w:ascii="Lucida Grande" w:hAnsi="Lucida Grande" w:cs="Lucida Grande"/>
      <w:sz w:val="24"/>
      <w:szCs w:val="24"/>
    </w:rPr>
  </w:style>
  <w:style w:type="paragraph" w:customStyle="1" w:styleId="EinfAbs">
    <w:name w:val="[Einf. Abs.]"/>
    <w:basedOn w:val="Normal"/>
    <w:uiPriority w:val="99"/>
    <w:rsid w:val="004A01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F607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auNormal"/>
    <w:next w:val="Grilledutableau"/>
    <w:uiPriority w:val="59"/>
    <w:rsid w:val="004C3E1C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6CBB9-56F3-483F-A500-E04F2F0E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4867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</dc:creator>
  <cp:lastModifiedBy>Gerard</cp:lastModifiedBy>
  <cp:revision>2</cp:revision>
  <cp:lastPrinted>2014-03-31T15:26:00Z</cp:lastPrinted>
  <dcterms:created xsi:type="dcterms:W3CDTF">2018-11-29T14:53:00Z</dcterms:created>
  <dcterms:modified xsi:type="dcterms:W3CDTF">2018-11-29T14:53:00Z</dcterms:modified>
</cp:coreProperties>
</file>